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53696">
      <w:pPr>
        <w:spacing w:before="1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pacing w:val="13"/>
          <w:sz w:val="28"/>
          <w:szCs w:val="28"/>
        </w:rPr>
        <w:t>服务质量考核表</w:t>
      </w:r>
    </w:p>
    <w:p w14:paraId="156D32F0">
      <w:pPr>
        <w:pStyle w:val="4"/>
        <w:spacing w:before="28" w:line="237" w:lineRule="auto"/>
        <w:ind w:left="211" w:right="213" w:firstLine="480"/>
        <w:jc w:val="both"/>
        <w:rPr>
          <w:rFonts w:hint="eastAsia" w:ascii="仿宋" w:hAnsi="仿宋" w:eastAsia="仿宋" w:cs="仿宋"/>
          <w:color w:val="000000"/>
          <w:spacing w:val="13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pacing w:val="13"/>
          <w:sz w:val="28"/>
          <w:szCs w:val="28"/>
          <w:lang w:eastAsia="zh-CN"/>
        </w:rPr>
        <w:t>年度考核分数在90分以上为达标，付100%合同款。80分≤得分＜90分，按合同款的5%罚款；70分≤得分＜80分，按合同款的10%罚款；70分以下，视作供应商未能按照招标文件、投标文件以及合同约定履行义务，医院有权中止合同，不予支付本 合同余款。服务质量考核标准如下表：</w:t>
      </w:r>
    </w:p>
    <w:p w14:paraId="0681F562">
      <w:pPr>
        <w:spacing w:before="9"/>
        <w:rPr>
          <w:rFonts w:hint="eastAsia" w:ascii="仿宋" w:hAnsi="仿宋" w:eastAsia="仿宋" w:cs="仿宋"/>
          <w:sz w:val="28"/>
          <w:szCs w:val="28"/>
        </w:rPr>
      </w:pPr>
    </w:p>
    <w:tbl>
      <w:tblPr>
        <w:tblStyle w:val="14"/>
        <w:tblW w:w="0" w:type="auto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1521"/>
        <w:gridCol w:w="957"/>
        <w:gridCol w:w="6079"/>
      </w:tblGrid>
      <w:tr w14:paraId="4FAB3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5B12D">
            <w:pPr>
              <w:pStyle w:val="16"/>
              <w:spacing w:line="275" w:lineRule="exact"/>
              <w:ind w:left="14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</w:t>
            </w:r>
          </w:p>
          <w:p w14:paraId="54FE57BF">
            <w:pPr>
              <w:pStyle w:val="16"/>
              <w:spacing w:line="312" w:lineRule="exact"/>
              <w:ind w:left="14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74FA2">
            <w:pPr>
              <w:pStyle w:val="16"/>
              <w:spacing w:before="116"/>
              <w:ind w:left="27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考核因素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D433B">
            <w:pPr>
              <w:pStyle w:val="16"/>
              <w:spacing w:before="116"/>
              <w:ind w:left="23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分值</w:t>
            </w:r>
          </w:p>
        </w:tc>
        <w:tc>
          <w:tcPr>
            <w:tcW w:w="6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167A54">
            <w:pPr>
              <w:pStyle w:val="16"/>
              <w:spacing w:before="116"/>
              <w:ind w:right="1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考核标准</w:t>
            </w:r>
          </w:p>
        </w:tc>
      </w:tr>
      <w:tr w14:paraId="1D1AB7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exac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0DBE5">
            <w:pPr>
              <w:pStyle w:val="16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C6FD9">
            <w:pPr>
              <w:pStyle w:val="16"/>
              <w:spacing w:line="312" w:lineRule="exact"/>
              <w:ind w:right="154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巡检工作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56A77">
            <w:pPr>
              <w:pStyle w:val="16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</w:t>
            </w:r>
          </w:p>
        </w:tc>
        <w:tc>
          <w:tcPr>
            <w:tcW w:w="6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E14719">
            <w:pPr>
              <w:pStyle w:val="16"/>
              <w:tabs>
                <w:tab w:val="left" w:pos="523"/>
              </w:tabs>
              <w:spacing w:line="282" w:lineRule="exact"/>
              <w:ind w:left="523" w:hanging="42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未按照要求对运维范围内设备进行定期巡检的，每发生一次扣2分。</w:t>
            </w:r>
          </w:p>
          <w:p w14:paraId="18AEA7C3">
            <w:pPr>
              <w:pStyle w:val="16"/>
              <w:tabs>
                <w:tab w:val="left" w:pos="523"/>
              </w:tabs>
              <w:spacing w:before="29" w:line="312" w:lineRule="exact"/>
              <w:ind w:left="523" w:right="100" w:hanging="42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巡检报告超时提交</w:t>
            </w:r>
            <w:r>
              <w:rPr>
                <w:rFonts w:hint="eastAsia" w:ascii="仿宋" w:hAnsi="仿宋" w:eastAsia="仿宋" w:cs="仿宋"/>
                <w:spacing w:val="-41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未提交或质量不合要求的</w:t>
            </w:r>
            <w:r>
              <w:rPr>
                <w:rFonts w:hint="eastAsia" w:ascii="仿宋" w:hAnsi="仿宋" w:eastAsia="仿宋" w:cs="仿宋"/>
                <w:spacing w:val="-36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每发 生一次扣2分。</w:t>
            </w:r>
          </w:p>
        </w:tc>
      </w:tr>
      <w:tr w14:paraId="4170B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exac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177B7">
            <w:pPr>
              <w:pStyle w:val="16"/>
              <w:spacing w:before="171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A21FB">
            <w:pPr>
              <w:pStyle w:val="16"/>
              <w:spacing w:before="171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响应时间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BFD23">
            <w:pPr>
              <w:pStyle w:val="16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20分</w:t>
            </w:r>
          </w:p>
        </w:tc>
        <w:tc>
          <w:tcPr>
            <w:tcW w:w="6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A7118">
            <w:pPr>
              <w:pStyle w:val="16"/>
              <w:tabs>
                <w:tab w:val="left" w:pos="523"/>
              </w:tabs>
              <w:spacing w:before="211" w:line="302" w:lineRule="exact"/>
              <w:ind w:left="540" w:leftChars="57" w:hanging="420" w:hangingChars="15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未按照合同约定时间进行远程或现场服务响应的，每发生一次扣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</w:tc>
      </w:tr>
      <w:tr w14:paraId="05CF6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exac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CC6AB">
            <w:pPr>
              <w:pStyle w:val="16"/>
              <w:spacing w:before="211"/>
              <w:ind w:left="2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B28DA">
            <w:pPr>
              <w:pStyle w:val="16"/>
              <w:spacing w:before="211"/>
              <w:ind w:left="27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责任事故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ADE67">
            <w:pPr>
              <w:pStyle w:val="16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0分</w:t>
            </w:r>
          </w:p>
        </w:tc>
        <w:tc>
          <w:tcPr>
            <w:tcW w:w="6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E8CE8">
            <w:pPr>
              <w:pStyle w:val="16"/>
              <w:tabs>
                <w:tab w:val="left" w:pos="523"/>
              </w:tabs>
              <w:spacing w:before="211"/>
              <w:ind w:left="103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出现重大安全事故的，每发生一次扣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0分。</w:t>
            </w:r>
          </w:p>
          <w:p w14:paraId="280E29E5">
            <w:pPr>
              <w:pStyle w:val="16"/>
              <w:tabs>
                <w:tab w:val="left" w:pos="523"/>
              </w:tabs>
              <w:spacing w:before="211"/>
              <w:ind w:left="523" w:leftChars="49" w:hanging="420" w:hangingChars="15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发生重大硬件故障未能及时修复的，每发生一次扣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0分</w:t>
            </w:r>
          </w:p>
        </w:tc>
      </w:tr>
      <w:tr w14:paraId="46C6D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exac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8D73D">
            <w:pPr>
              <w:pStyle w:val="16"/>
              <w:spacing w:before="118"/>
              <w:ind w:left="2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EFE65">
            <w:pPr>
              <w:pStyle w:val="16"/>
              <w:spacing w:line="275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用户支持与</w:t>
            </w:r>
          </w:p>
          <w:p w14:paraId="1059E72B">
            <w:pPr>
              <w:pStyle w:val="16"/>
              <w:spacing w:line="313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培训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90BC4">
            <w:pPr>
              <w:pStyle w:val="16"/>
              <w:spacing w:before="118"/>
              <w:ind w:left="263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</w:t>
            </w:r>
          </w:p>
        </w:tc>
        <w:tc>
          <w:tcPr>
            <w:tcW w:w="6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B607A">
            <w:pPr>
              <w:pStyle w:val="16"/>
              <w:tabs>
                <w:tab w:val="left" w:pos="523"/>
              </w:tabs>
              <w:spacing w:line="284" w:lineRule="exact"/>
              <w:ind w:left="523" w:hanging="42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未按照要求提供相关专业知识</w:t>
            </w:r>
            <w:r>
              <w:rPr>
                <w:rFonts w:hint="eastAsia" w:ascii="仿宋" w:hAnsi="仿宋" w:eastAsia="仿宋" w:cs="仿宋"/>
                <w:spacing w:val="-41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产品培训</w:t>
            </w:r>
            <w:r>
              <w:rPr>
                <w:rFonts w:hint="eastAsia" w:ascii="仿宋" w:hAnsi="仿宋" w:eastAsia="仿宋" w:cs="仿宋"/>
                <w:spacing w:val="-36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每发生一</w:t>
            </w:r>
          </w:p>
          <w:p w14:paraId="46CFC549">
            <w:pPr>
              <w:pStyle w:val="16"/>
              <w:spacing w:line="305" w:lineRule="exact"/>
              <w:ind w:left="523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分。</w:t>
            </w:r>
          </w:p>
          <w:p w14:paraId="3186F88B">
            <w:pPr>
              <w:pStyle w:val="16"/>
              <w:tabs>
                <w:tab w:val="left" w:pos="523"/>
              </w:tabs>
              <w:spacing w:line="284" w:lineRule="exact"/>
              <w:ind w:left="523" w:hanging="42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未按照要求与运维平台对接的</w:t>
            </w:r>
            <w:r>
              <w:rPr>
                <w:rFonts w:hint="eastAsia" w:ascii="仿宋" w:hAnsi="仿宋" w:eastAsia="仿宋" w:cs="仿宋"/>
                <w:spacing w:val="-36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每发生一次扣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分。</w:t>
            </w:r>
          </w:p>
        </w:tc>
      </w:tr>
      <w:tr w14:paraId="175208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06B09">
            <w:pPr>
              <w:pStyle w:val="16"/>
              <w:spacing w:before="210"/>
              <w:ind w:left="2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1B67F">
            <w:pPr>
              <w:pStyle w:val="16"/>
              <w:spacing w:before="84" w:line="312" w:lineRule="exact"/>
              <w:ind w:left="395" w:right="154" w:hanging="24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重要时刻保 障服务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EFC20">
            <w:pPr>
              <w:pStyle w:val="16"/>
              <w:spacing w:before="210"/>
              <w:ind w:left="203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12分</w:t>
            </w:r>
          </w:p>
        </w:tc>
        <w:tc>
          <w:tcPr>
            <w:tcW w:w="6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041B9">
            <w:pPr>
              <w:pStyle w:val="16"/>
              <w:tabs>
                <w:tab w:val="left" w:pos="523"/>
              </w:tabs>
              <w:spacing w:before="84" w:line="312" w:lineRule="exact"/>
              <w:ind w:left="523" w:right="23" w:hanging="42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重要时刻保障期间，发生一次未按要求提供服务的， 每发生一次扣4分。</w:t>
            </w:r>
          </w:p>
        </w:tc>
      </w:tr>
      <w:tr w14:paraId="370166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exac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1B9B1">
            <w:pPr>
              <w:pStyle w:val="16"/>
              <w:spacing w:before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394266AE">
            <w:pPr>
              <w:pStyle w:val="16"/>
              <w:ind w:left="2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5A1EF">
            <w:pPr>
              <w:pStyle w:val="16"/>
              <w:spacing w:before="211"/>
              <w:ind w:left="27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资产统计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4C43B">
            <w:pPr>
              <w:pStyle w:val="16"/>
              <w:spacing w:before="211"/>
              <w:ind w:left="263" w:leftChars="12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6分</w:t>
            </w:r>
          </w:p>
        </w:tc>
        <w:tc>
          <w:tcPr>
            <w:tcW w:w="6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22388">
            <w:pPr>
              <w:pStyle w:val="16"/>
              <w:tabs>
                <w:tab w:val="left" w:pos="523"/>
              </w:tabs>
              <w:spacing w:before="84" w:line="312" w:lineRule="exact"/>
              <w:ind w:left="523" w:right="23" w:hanging="420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未按照要求对中心机房设备建立档案并及时更新，每发生一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分。</w:t>
            </w:r>
          </w:p>
        </w:tc>
      </w:tr>
      <w:tr w14:paraId="28B32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2" w:hRule="exac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387E3">
            <w:pPr>
              <w:pStyle w:val="16"/>
              <w:spacing w:before="210"/>
              <w:ind w:left="2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63D1F103">
            <w:pPr>
              <w:pStyle w:val="16"/>
              <w:spacing w:before="210"/>
              <w:ind w:left="2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F01F5">
            <w:pPr>
              <w:pStyle w:val="16"/>
              <w:spacing w:before="211"/>
              <w:ind w:left="27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服务规范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2B31C">
            <w:pPr>
              <w:pStyle w:val="16"/>
              <w:spacing w:before="211"/>
              <w:ind w:left="27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10分</w:t>
            </w:r>
          </w:p>
        </w:tc>
        <w:tc>
          <w:tcPr>
            <w:tcW w:w="6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1A2E3">
            <w:pPr>
              <w:pStyle w:val="16"/>
              <w:tabs>
                <w:tab w:val="left" w:pos="523"/>
              </w:tabs>
              <w:spacing w:before="84" w:line="312" w:lineRule="exact"/>
              <w:ind w:left="523" w:right="100" w:hanging="42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设备返厂未提供备机的，每发生一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分。</w:t>
            </w:r>
          </w:p>
          <w:p w14:paraId="49CAEBAC">
            <w:pPr>
              <w:pStyle w:val="16"/>
              <w:tabs>
                <w:tab w:val="left" w:pos="523"/>
              </w:tabs>
              <w:spacing w:before="84" w:line="312" w:lineRule="exact"/>
              <w:ind w:left="523" w:right="100" w:hanging="42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现场操作设备未佩戴静电手环的，每发生一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分。</w:t>
            </w:r>
          </w:p>
          <w:p w14:paraId="03525287">
            <w:pPr>
              <w:pStyle w:val="16"/>
              <w:tabs>
                <w:tab w:val="left" w:pos="523"/>
              </w:tabs>
              <w:spacing w:before="84" w:line="312" w:lineRule="exact"/>
              <w:ind w:left="523" w:right="100" w:hanging="42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因供应商技术问题或维护操作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等原因造成最终采购人设备故障或损坏的。每发生一次扣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分。</w:t>
            </w:r>
          </w:p>
          <w:p w14:paraId="4323BB4E">
            <w:pPr>
              <w:pStyle w:val="16"/>
              <w:tabs>
                <w:tab w:val="left" w:pos="523"/>
              </w:tabs>
              <w:spacing w:before="84" w:line="312" w:lineRule="exact"/>
              <w:ind w:right="1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</w:tbl>
    <w:p w14:paraId="4EB3C8ED"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5AF4D0D5">
      <w:pPr>
        <w:jc w:val="center"/>
        <w:rPr>
          <w:rFonts w:hint="eastAsia" w:ascii="仿宋" w:hAnsi="仿宋" w:eastAsia="仿宋" w:cs="仿宋"/>
          <w:b/>
          <w:w w:val="95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评标方法和标准（综合评分法）</w:t>
      </w:r>
    </w:p>
    <w:p w14:paraId="50D1649C">
      <w:pPr>
        <w:pStyle w:val="4"/>
        <w:spacing w:before="151"/>
        <w:ind w:left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一、总则"/>
      <w:bookmarkEnd w:id="0"/>
    </w:p>
    <w:p w14:paraId="326A44DD">
      <w:pPr>
        <w:pStyle w:val="4"/>
        <w:spacing w:before="151"/>
        <w:ind w:left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评标委员会按照下表对投标文件进行详细审查和评分</w:t>
      </w:r>
    </w:p>
    <w:p w14:paraId="3CD6A465">
      <w:pPr>
        <w:pStyle w:val="4"/>
        <w:spacing w:line="355" w:lineRule="auto"/>
        <w:ind w:left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本项目综合评分满分为100分</w:t>
      </w:r>
      <w:r>
        <w:rPr>
          <w:rFonts w:hint="eastAsia" w:ascii="仿宋" w:hAnsi="仿宋" w:eastAsia="仿宋" w:cs="仿宋"/>
          <w:spacing w:val="-12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其中</w:t>
      </w:r>
      <w:r>
        <w:rPr>
          <w:rFonts w:hint="eastAsia" w:ascii="仿宋" w:hAnsi="仿宋" w:eastAsia="仿宋" w:cs="仿宋"/>
          <w:spacing w:val="-12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技术分值占总分值的权重</w:t>
      </w:r>
      <w:r>
        <w:rPr>
          <w:rFonts w:hint="eastAsia" w:ascii="仿宋" w:hAnsi="仿宋" w:eastAsia="仿宋" w:cs="仿宋"/>
          <w:spacing w:val="-1"/>
          <w:sz w:val="28"/>
          <w:szCs w:val="28"/>
          <w:lang w:eastAsia="zh-CN"/>
        </w:rPr>
        <w:t>为</w:t>
      </w:r>
      <w:r>
        <w:rPr>
          <w:rFonts w:hint="eastAsia" w:ascii="仿宋" w:hAnsi="仿宋" w:eastAsia="仿宋" w:cs="仿宋"/>
          <w:sz w:val="28"/>
          <w:szCs w:val="28"/>
          <w:u w:val="single" w:color="000000"/>
          <w:lang w:eastAsia="zh-CN"/>
        </w:rPr>
        <w:t>70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%， 价格分值占总分值的权重为</w:t>
      </w:r>
      <w:r>
        <w:rPr>
          <w:rFonts w:hint="eastAsia" w:ascii="仿宋" w:hAnsi="仿宋" w:eastAsia="仿宋" w:cs="仿宋"/>
          <w:sz w:val="28"/>
          <w:szCs w:val="28"/>
          <w:u w:val="single" w:color="000000"/>
          <w:lang w:eastAsia="zh-CN"/>
        </w:rPr>
        <w:t>30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%。具体评分细则如下：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75"/>
        <w:gridCol w:w="3969"/>
        <w:gridCol w:w="1497"/>
      </w:tblGrid>
      <w:tr w14:paraId="25AEA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268E375A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1275" w:type="dxa"/>
            <w:vAlign w:val="center"/>
          </w:tcPr>
          <w:p w14:paraId="6B2714B8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评分内容</w:t>
            </w:r>
          </w:p>
        </w:tc>
        <w:tc>
          <w:tcPr>
            <w:tcW w:w="3969" w:type="dxa"/>
          </w:tcPr>
          <w:p w14:paraId="60406AF9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评分标准</w:t>
            </w:r>
          </w:p>
        </w:tc>
        <w:tc>
          <w:tcPr>
            <w:tcW w:w="1497" w:type="dxa"/>
            <w:vAlign w:val="center"/>
          </w:tcPr>
          <w:p w14:paraId="011A955C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分值范围</w:t>
            </w:r>
          </w:p>
        </w:tc>
      </w:tr>
      <w:tr w14:paraId="50EBC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  <w:vAlign w:val="center"/>
          </w:tcPr>
          <w:p w14:paraId="53ADAC85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技术分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（70分）</w:t>
            </w:r>
          </w:p>
        </w:tc>
        <w:tc>
          <w:tcPr>
            <w:tcW w:w="1275" w:type="dxa"/>
            <w:vAlign w:val="center"/>
          </w:tcPr>
          <w:p w14:paraId="1427B393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项目团队人员配备</w:t>
            </w:r>
          </w:p>
        </w:tc>
        <w:tc>
          <w:tcPr>
            <w:tcW w:w="3969" w:type="dxa"/>
          </w:tcPr>
          <w:p w14:paraId="458FD8D9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1、项目负责人具备注册信息安全专业人员(CISP)证书或</w:t>
            </w:r>
          </w:p>
          <w:p w14:paraId="584885D8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系统集成项目管理工程师证书，得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2 分；</w:t>
            </w:r>
          </w:p>
          <w:p w14:paraId="28B34285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2、项目技术负责人具备高级数据库管理工程师证书或高</w:t>
            </w:r>
          </w:p>
          <w:p w14:paraId="5012EB70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级软件工程师证书，得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2 分；</w:t>
            </w:r>
          </w:p>
          <w:p w14:paraId="3FC839A9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3、项目技术人员（除项目负责人和项目技术负责人外）</w:t>
            </w:r>
          </w:p>
          <w:p w14:paraId="0843FFC5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具有系统架构设计师证书，得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2 分。</w:t>
            </w:r>
          </w:p>
          <w:p w14:paraId="3E0D3646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4、项目实施人员具有电气工程中级工程师证书，得 1 分。</w:t>
            </w:r>
          </w:p>
          <w:p w14:paraId="1F200094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5、项目其他人员具有中级信息系统项目管理师证书，得 1</w:t>
            </w:r>
          </w:p>
          <w:p w14:paraId="448E1C8C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分。</w:t>
            </w:r>
          </w:p>
          <w:p w14:paraId="307249D3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6、拟配备的项目团队，团队成员（不含项目经理和技术</w:t>
            </w:r>
          </w:p>
          <w:p w14:paraId="43E840D0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负责人）中具有以下证书：</w:t>
            </w:r>
          </w:p>
          <w:p w14:paraId="3044FA59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①软件设计师证书；</w:t>
            </w:r>
          </w:p>
          <w:p w14:paraId="6AE5EEB2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②注册信息安全专业人员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(CISP)证书；</w:t>
            </w:r>
          </w:p>
          <w:p w14:paraId="30827090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③系统集成项目管理工程师证书；</w:t>
            </w:r>
          </w:p>
          <w:p w14:paraId="2BA96FCC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④网络工程师；</w:t>
            </w:r>
          </w:p>
          <w:p w14:paraId="4DE813ED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⑤中级网络信息安全工程师证书；</w:t>
            </w:r>
          </w:p>
          <w:p w14:paraId="2A3F5983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每提供一项得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1 分，本项满分 4 分。</w:t>
            </w:r>
          </w:p>
          <w:p w14:paraId="3049D454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注：以上人员不得重复，需提供证书扫描件</w:t>
            </w:r>
          </w:p>
        </w:tc>
        <w:tc>
          <w:tcPr>
            <w:tcW w:w="1497" w:type="dxa"/>
            <w:vAlign w:val="center"/>
          </w:tcPr>
          <w:p w14:paraId="2C13BD7A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0-12</w:t>
            </w:r>
          </w:p>
        </w:tc>
      </w:tr>
      <w:tr w14:paraId="7BCAF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03FD47EB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1894046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业绩</w:t>
            </w:r>
          </w:p>
        </w:tc>
        <w:tc>
          <w:tcPr>
            <w:tcW w:w="3969" w:type="dxa"/>
          </w:tcPr>
          <w:p w14:paraId="7BE6B5EF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自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202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年 1 月 1 日以来（以合同签订时间为准），投标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人每具有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1 项信息系统集成运维服务类业绩的得 2 分，满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分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4 分。 注：提供业绩合同扫描件，合同中须体现评审内容，无签订时间的合同作为无效业绩。</w:t>
            </w:r>
          </w:p>
        </w:tc>
        <w:tc>
          <w:tcPr>
            <w:tcW w:w="1497" w:type="dxa"/>
            <w:vAlign w:val="center"/>
          </w:tcPr>
          <w:p w14:paraId="2E7E37F8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0-4</w:t>
            </w:r>
            <w:bookmarkStart w:id="1" w:name="_GoBack"/>
            <w:bookmarkEnd w:id="1"/>
          </w:p>
        </w:tc>
      </w:tr>
      <w:tr w14:paraId="0C06F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6ED94EB1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CD8C36C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设备官方质保</w:t>
            </w:r>
          </w:p>
        </w:tc>
        <w:tc>
          <w:tcPr>
            <w:tcW w:w="3969" w:type="dxa"/>
          </w:tcPr>
          <w:p w14:paraId="5465777C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投标人对维保服务需求表进行响应，可提供官方技术支持服务等质保服务内容（有效期不少于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1年），提供服务承诺函并加盖公章，每提供 1 个得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分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本项目满分 32 分。</w:t>
            </w:r>
          </w:p>
        </w:tc>
        <w:tc>
          <w:tcPr>
            <w:tcW w:w="1497" w:type="dxa"/>
            <w:vAlign w:val="center"/>
          </w:tcPr>
          <w:p w14:paraId="070F9807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0-32</w:t>
            </w:r>
          </w:p>
        </w:tc>
      </w:tr>
      <w:tr w14:paraId="0A9A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08B7C1A8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86A5402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系统对接承诺</w:t>
            </w:r>
          </w:p>
        </w:tc>
        <w:tc>
          <w:tcPr>
            <w:tcW w:w="3969" w:type="dxa"/>
          </w:tcPr>
          <w:p w14:paraId="038F7BCB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本次运维服务包含重点设备需要与现有运维平台系统对接，要求供应商与现有平台方高度配合，供应商承诺免费配合对接运维平台。提供承诺函得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2 分。</w:t>
            </w:r>
          </w:p>
        </w:tc>
        <w:tc>
          <w:tcPr>
            <w:tcW w:w="1497" w:type="dxa"/>
            <w:vAlign w:val="center"/>
          </w:tcPr>
          <w:p w14:paraId="230978B1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0-2</w:t>
            </w:r>
          </w:p>
        </w:tc>
      </w:tr>
      <w:tr w14:paraId="0E240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56867497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816CB5A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项目服务方案</w:t>
            </w:r>
          </w:p>
        </w:tc>
        <w:tc>
          <w:tcPr>
            <w:tcW w:w="3969" w:type="dxa"/>
          </w:tcPr>
          <w:p w14:paraId="758343D5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投标人提供下列服务方案，由评标委员会进行综合评审：提供服务管理规范、服务保障措施等：</w:t>
            </w:r>
          </w:p>
          <w:p w14:paraId="0107B643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1、服务管理规范，服务保障措施具体，巡检方案完善，符合项目全部服务需求的得 10 分；</w:t>
            </w:r>
          </w:p>
          <w:p w14:paraId="5E9A0123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2、服务管理规范，服务保障措施具备，巡检方案完整的得 6 分； </w:t>
            </w:r>
          </w:p>
          <w:p w14:paraId="466D4891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3、服务管理规范符合要求、服务保障措施、巡检方案未完全满足项目要求的得 2 分； </w:t>
            </w:r>
          </w:p>
          <w:p w14:paraId="1539E95B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4、与需求无关或不提供的不得分。</w:t>
            </w:r>
          </w:p>
        </w:tc>
        <w:tc>
          <w:tcPr>
            <w:tcW w:w="1497" w:type="dxa"/>
            <w:vAlign w:val="center"/>
          </w:tcPr>
          <w:p w14:paraId="7BD48335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0-10</w:t>
            </w:r>
          </w:p>
        </w:tc>
      </w:tr>
      <w:tr w14:paraId="10BA2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 w14:paraId="62D8B6DF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C96286D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运维服务团队管理方案</w:t>
            </w:r>
          </w:p>
        </w:tc>
        <w:tc>
          <w:tcPr>
            <w:tcW w:w="3969" w:type="dxa"/>
          </w:tcPr>
          <w:p w14:paraId="71E5E6FE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投标人提供完善的团队管理方案，包括但不限于服务质量管理制度、人员保障措施、档案管理制度、保密制度，清晰明确的工作流程规定，合理的监督机制、信息反馈及处理机制等。</w:t>
            </w:r>
          </w:p>
          <w:p w14:paraId="0CB71772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1、人员配备完善，具备与本项目适配的人员，且分工明确，流程、制度健全，与本项目实际需要完全适应，利于项目实施的，得 10 分；</w:t>
            </w:r>
          </w:p>
          <w:p w14:paraId="66765233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2、人员配备适合本项目采购需求，流程、制度明确，符合项目实施要求的，得 6 分；</w:t>
            </w:r>
          </w:p>
          <w:p w14:paraId="0AAAF3DB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3、人员配备适合本项目采购需求，流程、制度不完整的，得 2 分；</w:t>
            </w:r>
          </w:p>
          <w:p w14:paraId="228417F2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4、与需求无关或不提供的不得分。</w:t>
            </w:r>
          </w:p>
        </w:tc>
        <w:tc>
          <w:tcPr>
            <w:tcW w:w="1497" w:type="dxa"/>
            <w:vAlign w:val="center"/>
          </w:tcPr>
          <w:p w14:paraId="32EE0A01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0-10</w:t>
            </w:r>
          </w:p>
        </w:tc>
      </w:tr>
      <w:tr w14:paraId="32BE1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3B933222">
            <w:pPr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价格分（30分）</w:t>
            </w:r>
          </w:p>
        </w:tc>
        <w:tc>
          <w:tcPr>
            <w:tcW w:w="6741" w:type="dxa"/>
            <w:gridSpan w:val="3"/>
            <w:vAlign w:val="center"/>
          </w:tcPr>
          <w:p w14:paraId="1DD6D5B6"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价格分统一采用低价优先法，即满足招标文件要求且投标价格最低的投标报价为评标基准价，其价格分为满分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30 分。其他投标人的价格分统一按照下列公式计算：</w:t>
            </w:r>
          </w:p>
          <w:p w14:paraId="54E0A05D">
            <w:pP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投标报价得分＝（评标基准价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/投标报价）× 30％×100</w:t>
            </w:r>
          </w:p>
        </w:tc>
      </w:tr>
    </w:tbl>
    <w:p w14:paraId="23FD6917">
      <w:pPr>
        <w:rPr>
          <w:rFonts w:hint="eastAsia" w:ascii="仿宋" w:hAnsi="仿宋" w:eastAsia="仿宋" w:cs="仿宋"/>
          <w:color w:val="000000"/>
          <w:spacing w:val="13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83"/>
    <w:rsid w:val="00021A45"/>
    <w:rsid w:val="00042930"/>
    <w:rsid w:val="00044473"/>
    <w:rsid w:val="000B37C5"/>
    <w:rsid w:val="000B4A90"/>
    <w:rsid w:val="00166694"/>
    <w:rsid w:val="001B4B7F"/>
    <w:rsid w:val="001C62E9"/>
    <w:rsid w:val="00261A20"/>
    <w:rsid w:val="00390836"/>
    <w:rsid w:val="003A77D4"/>
    <w:rsid w:val="00421439"/>
    <w:rsid w:val="004749FA"/>
    <w:rsid w:val="004C1993"/>
    <w:rsid w:val="004C5884"/>
    <w:rsid w:val="004F2E16"/>
    <w:rsid w:val="005560FB"/>
    <w:rsid w:val="006208AA"/>
    <w:rsid w:val="006B5BF0"/>
    <w:rsid w:val="0075078A"/>
    <w:rsid w:val="007D187C"/>
    <w:rsid w:val="008032C2"/>
    <w:rsid w:val="00837E01"/>
    <w:rsid w:val="008A7BDF"/>
    <w:rsid w:val="00906374"/>
    <w:rsid w:val="0092108C"/>
    <w:rsid w:val="00942683"/>
    <w:rsid w:val="0099433F"/>
    <w:rsid w:val="00A52CE1"/>
    <w:rsid w:val="00AC07FC"/>
    <w:rsid w:val="00AF7C4C"/>
    <w:rsid w:val="00B024F6"/>
    <w:rsid w:val="00B10BA4"/>
    <w:rsid w:val="00B21C6D"/>
    <w:rsid w:val="00B44EF8"/>
    <w:rsid w:val="00E25BFE"/>
    <w:rsid w:val="00E451DF"/>
    <w:rsid w:val="00E97570"/>
    <w:rsid w:val="00EB1670"/>
    <w:rsid w:val="00EB5632"/>
    <w:rsid w:val="00ED7596"/>
    <w:rsid w:val="00EE3295"/>
    <w:rsid w:val="00F44340"/>
    <w:rsid w:val="00F92788"/>
    <w:rsid w:val="00FE4962"/>
    <w:rsid w:val="00FE6521"/>
    <w:rsid w:val="204562CF"/>
    <w:rsid w:val="2289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1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5"/>
    <w:basedOn w:val="1"/>
    <w:link w:val="13"/>
    <w:qFormat/>
    <w:uiPriority w:val="1"/>
    <w:pPr>
      <w:ind w:left="548"/>
      <w:jc w:val="left"/>
      <w:outlineLvl w:val="4"/>
    </w:pPr>
    <w:rPr>
      <w:rFonts w:ascii="宋体" w:hAnsi="宋体" w:eastAsia="宋体"/>
      <w:b/>
      <w:bCs/>
      <w:kern w:val="0"/>
      <w:sz w:val="24"/>
      <w:szCs w:val="24"/>
      <w:lang w:eastAsia="en-US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5"/>
    <w:qFormat/>
    <w:uiPriority w:val="1"/>
    <w:pPr>
      <w:spacing w:before="154"/>
      <w:ind w:left="111"/>
      <w:jc w:val="left"/>
    </w:pPr>
    <w:rPr>
      <w:rFonts w:ascii="宋体" w:hAnsi="宋体" w:eastAsia="宋体"/>
      <w:kern w:val="0"/>
      <w:sz w:val="24"/>
      <w:szCs w:val="24"/>
      <w:lang w:eastAsia="en-US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semiHidden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semiHidden/>
    <w:uiPriority w:val="99"/>
    <w:rPr>
      <w:sz w:val="18"/>
      <w:szCs w:val="18"/>
    </w:rPr>
  </w:style>
  <w:style w:type="character" w:customStyle="1" w:styleId="13">
    <w:name w:val="标题 5 Char"/>
    <w:basedOn w:val="10"/>
    <w:link w:val="3"/>
    <w:uiPriority w:val="1"/>
    <w:rPr>
      <w:rFonts w:ascii="宋体" w:hAnsi="宋体" w:eastAsia="宋体"/>
      <w:b/>
      <w:bCs/>
      <w:kern w:val="0"/>
      <w:sz w:val="24"/>
      <w:szCs w:val="24"/>
      <w:lang w:eastAsia="en-US"/>
    </w:rPr>
  </w:style>
  <w:style w:type="table" w:customStyle="1" w:styleId="14">
    <w:name w:val="Table Normal"/>
    <w:semiHidden/>
    <w:unhideWhenUsed/>
    <w:qFormat/>
    <w:uiPriority w:val="2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正文文本 Char"/>
    <w:basedOn w:val="10"/>
    <w:link w:val="4"/>
    <w:uiPriority w:val="1"/>
    <w:rPr>
      <w:rFonts w:ascii="宋体" w:hAnsi="宋体" w:eastAsia="宋体"/>
      <w:kern w:val="0"/>
      <w:sz w:val="24"/>
      <w:szCs w:val="24"/>
      <w:lang w:eastAsia="en-US"/>
    </w:rPr>
  </w:style>
  <w:style w:type="paragraph" w:customStyle="1" w:styleId="16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character" w:customStyle="1" w:styleId="17">
    <w:name w:val="标题 3 Char"/>
    <w:basedOn w:val="10"/>
    <w:link w:val="2"/>
    <w:semiHidden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1860</Words>
  <Characters>1916</Characters>
  <Lines>20</Lines>
  <Paragraphs>5</Paragraphs>
  <TotalTime>108</TotalTime>
  <ScaleCrop>false</ScaleCrop>
  <LinksUpToDate>false</LinksUpToDate>
  <CharactersWithSpaces>1949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2024-03-27T03:35:00Z</dcterms:created>
  <dc:creator>PC</dc:creator>
  <cp:lastModifiedBy>Administrator</cp:lastModifiedBy>
  <dcterms:modified xsi:type="dcterms:W3CDTF">2025-01-16T00:17:44Z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4B79A5D7869C4B1B97A2FF5940B4813F_13</vt:lpwstr>
  </property>
  <property fmtid="{D5CDD505-2E9C-101B-9397-08002B2CF9AE}" pid="4" name="KSOTemplateDocerSaveRecord">
    <vt:lpwstr>eyJoZGlkIjoiZjVlODNmMTE2MGJiMzk1MWU0ODg4OTVjY2YxODk3NGMifQ==</vt:lpwstr>
  </property>
</Properties>
</file>